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E5A3C" w:rsidRPr="00306643" w:rsidRDefault="00AE5A3C" w:rsidP="00AE5A3C">
      <w:pPr>
        <w:autoSpaceDE w:val="0"/>
        <w:autoSpaceDN w:val="0"/>
        <w:adjustRightInd w:val="0"/>
        <w:rPr>
          <w:b/>
          <w:sz w:val="16"/>
          <w:szCs w:val="16"/>
        </w:rPr>
      </w:pPr>
      <w:r>
        <w:rPr>
          <w:noProof/>
        </w:rPr>
        <w:drawing>
          <wp:anchor distT="0" distB="0" distL="114300" distR="114300" simplePos="0" relativeHeight="251660288" behindDoc="0" locked="0" layoutInCell="1" allowOverlap="1">
            <wp:simplePos x="0" y="0"/>
            <wp:positionH relativeFrom="column">
              <wp:posOffset>4697095</wp:posOffset>
            </wp:positionH>
            <wp:positionV relativeFrom="paragraph">
              <wp:posOffset>111760</wp:posOffset>
            </wp:positionV>
            <wp:extent cx="1112520" cy="922020"/>
            <wp:effectExtent l="1905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
                    <a:srcRect/>
                    <a:stretch>
                      <a:fillRect/>
                    </a:stretch>
                  </pic:blipFill>
                  <pic:spPr bwMode="auto">
                    <a:xfrm>
                      <a:off x="0" y="0"/>
                      <a:ext cx="1112520" cy="922020"/>
                    </a:xfrm>
                    <a:prstGeom prst="rect">
                      <a:avLst/>
                    </a:prstGeom>
                    <a:noFill/>
                    <a:ln w="9525">
                      <a:noFill/>
                      <a:miter lim="800000"/>
                      <a:headEnd/>
                      <a:tailEnd/>
                    </a:ln>
                  </pic:spPr>
                </pic:pic>
              </a:graphicData>
            </a:graphic>
          </wp:anchor>
        </w:drawing>
      </w:r>
    </w:p>
    <w:p w:rsidR="00AE5A3C" w:rsidRPr="00AE5A3C" w:rsidRDefault="00AE5A3C" w:rsidP="00AE5A3C">
      <w:pPr>
        <w:autoSpaceDE w:val="0"/>
        <w:autoSpaceDN w:val="0"/>
        <w:adjustRightInd w:val="0"/>
        <w:jc w:val="center"/>
        <w:rPr>
          <w:b/>
        </w:rPr>
      </w:pPr>
      <w:r>
        <w:rPr>
          <w:b/>
          <w:noProof/>
        </w:rPr>
        <w:drawing>
          <wp:anchor distT="0" distB="0" distL="114300" distR="114300" simplePos="0" relativeHeight="251661312" behindDoc="0" locked="0" layoutInCell="1" allowOverlap="1">
            <wp:simplePos x="0" y="0"/>
            <wp:positionH relativeFrom="column">
              <wp:posOffset>62230</wp:posOffset>
            </wp:positionH>
            <wp:positionV relativeFrom="paragraph">
              <wp:posOffset>80645</wp:posOffset>
            </wp:positionV>
            <wp:extent cx="1186815" cy="920115"/>
            <wp:effectExtent l="1905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
                    <a:srcRect/>
                    <a:stretch>
                      <a:fillRect/>
                    </a:stretch>
                  </pic:blipFill>
                  <pic:spPr bwMode="auto">
                    <a:xfrm>
                      <a:off x="0" y="0"/>
                      <a:ext cx="1186815" cy="920115"/>
                    </a:xfrm>
                    <a:prstGeom prst="rect">
                      <a:avLst/>
                    </a:prstGeom>
                    <a:noFill/>
                    <a:ln w="9525">
                      <a:noFill/>
                      <a:miter lim="800000"/>
                      <a:headEnd/>
                      <a:tailEnd/>
                    </a:ln>
                  </pic:spPr>
                </pic:pic>
              </a:graphicData>
            </a:graphic>
          </wp:anchor>
        </w:drawing>
      </w:r>
      <w:r w:rsidRPr="00306643">
        <w:rPr>
          <w:b/>
          <w:noProof/>
          <w:sz w:val="16"/>
          <w:szCs w:val="16"/>
        </w:rPr>
      </w:r>
      <w:r w:rsidRPr="00306643">
        <w:rPr>
          <w:b/>
        </w:rPr>
        <w:pict>
          <v:group id="_x0000_s1026" editas="canvas" style="width:93pt;height:1in;mso-position-horizontal-relative:char;mso-position-vertical-relative:line" coordorigin=",-1346" coordsize="1860,144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top:-1346;width:1860;height:1440" o:preferrelative="f">
              <v:fill o:detectmouseclick="t"/>
              <v:path o:extrusionok="t" o:connecttype="none"/>
              <o:lock v:ext="edit" text="t"/>
            </v:shape>
            <w10:wrap type="none"/>
            <w10:anchorlock/>
          </v:group>
        </w:pict>
      </w:r>
    </w:p>
    <w:p w:rsidR="00AE5A3C" w:rsidRPr="00306643" w:rsidRDefault="00AE5A3C" w:rsidP="00AE5A3C">
      <w:pPr>
        <w:autoSpaceDE w:val="0"/>
        <w:autoSpaceDN w:val="0"/>
        <w:adjustRightInd w:val="0"/>
        <w:jc w:val="center"/>
        <w:rPr>
          <w:sz w:val="28"/>
          <w:szCs w:val="28"/>
        </w:rPr>
      </w:pPr>
      <w:r w:rsidRPr="00306643">
        <w:rPr>
          <w:b/>
          <w:sz w:val="28"/>
          <w:szCs w:val="28"/>
        </w:rPr>
        <w:t>Programul Operational Ajutorarea Persoanelor Defavorizate </w:t>
      </w:r>
    </w:p>
    <w:p w:rsidR="00AE5A3C" w:rsidRPr="00306643" w:rsidRDefault="00AE5A3C" w:rsidP="00AE5A3C">
      <w:pPr>
        <w:autoSpaceDE w:val="0"/>
        <w:autoSpaceDN w:val="0"/>
        <w:adjustRightInd w:val="0"/>
        <w:jc w:val="center"/>
        <w:rPr>
          <w:b/>
          <w:sz w:val="28"/>
          <w:szCs w:val="28"/>
        </w:rPr>
      </w:pPr>
      <w:r w:rsidRPr="00306643">
        <w:rPr>
          <w:b/>
          <w:sz w:val="28"/>
          <w:szCs w:val="28"/>
        </w:rPr>
        <w:t>2015/2016</w:t>
      </w:r>
    </w:p>
    <w:p w:rsidR="00AE5A3C" w:rsidRPr="00306643" w:rsidRDefault="00AE5A3C" w:rsidP="00AE5A3C">
      <w:pPr>
        <w:autoSpaceDE w:val="0"/>
        <w:autoSpaceDN w:val="0"/>
        <w:adjustRightInd w:val="0"/>
        <w:jc w:val="center"/>
        <w:rPr>
          <w:b/>
          <w:sz w:val="28"/>
          <w:szCs w:val="28"/>
        </w:rPr>
      </w:pPr>
      <w:r w:rsidRPr="00306643">
        <w:rPr>
          <w:b/>
          <w:sz w:val="28"/>
          <w:szCs w:val="28"/>
        </w:rPr>
        <w:t xml:space="preserve">Proiect co-finanţat de UNIUNEA EUROPEANĂ </w:t>
      </w:r>
    </w:p>
    <w:p w:rsidR="00AE5A3C" w:rsidRPr="00306643" w:rsidRDefault="00AE5A3C" w:rsidP="00AE5A3C">
      <w:pPr>
        <w:autoSpaceDE w:val="0"/>
        <w:autoSpaceDN w:val="0"/>
        <w:adjustRightInd w:val="0"/>
        <w:jc w:val="center"/>
        <w:rPr>
          <w:sz w:val="28"/>
          <w:szCs w:val="28"/>
        </w:rPr>
      </w:pPr>
      <w:r w:rsidRPr="00306643">
        <w:rPr>
          <w:sz w:val="28"/>
          <w:szCs w:val="28"/>
        </w:rPr>
        <w:t>prin Fondul de ajutor european destinat celor mai defavorizate persoane</w:t>
      </w:r>
    </w:p>
    <w:p w:rsidR="00780CCA" w:rsidRDefault="00780CCA" w:rsidP="00AE5A3C">
      <w:pPr>
        <w:ind w:firstLine="720"/>
        <w:jc w:val="both"/>
      </w:pPr>
    </w:p>
    <w:p w:rsidR="00AE5A3C" w:rsidRPr="00306643" w:rsidRDefault="00AE5A3C" w:rsidP="00AE5A3C">
      <w:pPr>
        <w:ind w:firstLine="720"/>
        <w:jc w:val="both"/>
      </w:pPr>
      <w:r w:rsidRPr="00306643">
        <w:t>Programul operaţional Ajutorarea persoanelor defavorizate este finanţat din Fondul de ajutor european destinat celor mai defavorizate persoane.</w:t>
      </w:r>
    </w:p>
    <w:p w:rsidR="00AE5A3C" w:rsidRPr="00306643" w:rsidRDefault="00AE5A3C" w:rsidP="00AE5A3C">
      <w:pPr>
        <w:jc w:val="both"/>
      </w:pPr>
    </w:p>
    <w:p w:rsidR="00AE5A3C" w:rsidRPr="00306643" w:rsidRDefault="00AE5A3C" w:rsidP="00AE5A3C">
      <w:pPr>
        <w:jc w:val="both"/>
        <w:rPr>
          <w:b/>
        </w:rPr>
      </w:pPr>
      <w:r w:rsidRPr="00306643">
        <w:rPr>
          <w:b/>
        </w:rPr>
        <w:t>Cadru legal: </w:t>
      </w:r>
    </w:p>
    <w:p w:rsidR="00AE5A3C" w:rsidRDefault="00AE5A3C" w:rsidP="00AE5A3C">
      <w:pPr>
        <w:numPr>
          <w:ilvl w:val="0"/>
          <w:numId w:val="1"/>
        </w:numPr>
        <w:spacing w:after="0" w:line="240" w:lineRule="auto"/>
        <w:jc w:val="both"/>
      </w:pPr>
      <w:r w:rsidRPr="00306643">
        <w:t xml:space="preserve">Regulamentul nr. 223/2014 al Parlamentului european si al </w:t>
      </w:r>
      <w:r>
        <w:t>Consiliului din 11 martie 2014</w:t>
      </w:r>
    </w:p>
    <w:p w:rsidR="00AE5A3C" w:rsidRDefault="00AE5A3C" w:rsidP="00AE5A3C">
      <w:pPr>
        <w:numPr>
          <w:ilvl w:val="0"/>
          <w:numId w:val="1"/>
        </w:numPr>
        <w:spacing w:after="0" w:line="240" w:lineRule="auto"/>
        <w:jc w:val="both"/>
      </w:pPr>
      <w:r w:rsidRPr="00306643">
        <w:t>Hotărârea de Guvern nr. 799/2014, privind implementarea Programului operaţional Ajuto</w:t>
      </w:r>
      <w:r>
        <w:t>rarea persoanelor defavorizate.</w:t>
      </w:r>
    </w:p>
    <w:p w:rsidR="00AE5A3C" w:rsidRPr="00306643" w:rsidRDefault="00AE5A3C" w:rsidP="00AE5A3C">
      <w:pPr>
        <w:numPr>
          <w:ilvl w:val="0"/>
          <w:numId w:val="1"/>
        </w:numPr>
        <w:spacing w:after="0" w:line="240" w:lineRule="auto"/>
        <w:jc w:val="both"/>
      </w:pPr>
      <w:r w:rsidRPr="00306643">
        <w:t>Hotărârea de Guvern nr. 627/ 2015 pentru modificarea şi completarea Hotărârii Guvernului nr. 799/2014.</w:t>
      </w:r>
    </w:p>
    <w:p w:rsidR="00AE5A3C" w:rsidRPr="00306643" w:rsidRDefault="00AE5A3C" w:rsidP="00AE5A3C">
      <w:pPr>
        <w:jc w:val="both"/>
      </w:pPr>
    </w:p>
    <w:p w:rsidR="00AE5A3C" w:rsidRPr="00306643" w:rsidRDefault="00AE5A3C" w:rsidP="00AE5A3C">
      <w:pPr>
        <w:jc w:val="both"/>
      </w:pPr>
      <w:r w:rsidRPr="00306643">
        <w:rPr>
          <w:b/>
        </w:rPr>
        <w:t>Scop:</w:t>
      </w:r>
      <w:r w:rsidRPr="00306643">
        <w:br/>
        <w:t>- Ajutorarea persoanelor celor mai defavorizate prin acordarea de pachete cu alimente.</w:t>
      </w:r>
    </w:p>
    <w:p w:rsidR="00AE5A3C" w:rsidRPr="00306643" w:rsidRDefault="00AE5A3C" w:rsidP="00AE5A3C">
      <w:pPr>
        <w:jc w:val="both"/>
      </w:pPr>
    </w:p>
    <w:p w:rsidR="00AE5A3C" w:rsidRPr="00306643" w:rsidRDefault="00AE5A3C" w:rsidP="00AE5A3C">
      <w:pPr>
        <w:jc w:val="both"/>
      </w:pPr>
      <w:r w:rsidRPr="00306643">
        <w:rPr>
          <w:b/>
        </w:rPr>
        <w:t>Obiectiv:</w:t>
      </w:r>
      <w:r w:rsidRPr="00306643">
        <w:t> </w:t>
      </w:r>
      <w:r w:rsidRPr="00306643">
        <w:br/>
        <w:t>- Creşterea gradului de confort pentru persoanele singure sau familiile defavorizate.</w:t>
      </w:r>
    </w:p>
    <w:p w:rsidR="00AE5A3C" w:rsidRPr="00306643" w:rsidRDefault="00AE5A3C" w:rsidP="00AE5A3C">
      <w:pPr>
        <w:jc w:val="both"/>
      </w:pPr>
    </w:p>
    <w:p w:rsidR="00AE5A3C" w:rsidRPr="00306643" w:rsidRDefault="00AE5A3C" w:rsidP="00AE5A3C">
      <w:pPr>
        <w:jc w:val="both"/>
        <w:rPr>
          <w:b/>
        </w:rPr>
      </w:pPr>
      <w:r w:rsidRPr="00306643">
        <w:rPr>
          <w:b/>
        </w:rPr>
        <w:t>Beneficiu acordat:</w:t>
      </w:r>
    </w:p>
    <w:p w:rsidR="00AE5A3C" w:rsidRPr="00306643" w:rsidRDefault="00AE5A3C" w:rsidP="00AE5A3C">
      <w:pPr>
        <w:jc w:val="both"/>
      </w:pPr>
      <w:r w:rsidRPr="00306643">
        <w:t>- pachete cu alimente.</w:t>
      </w:r>
    </w:p>
    <w:p w:rsidR="00AE5A3C" w:rsidRDefault="00AE5A3C" w:rsidP="00AE5A3C">
      <w:pPr>
        <w:jc w:val="both"/>
      </w:pPr>
    </w:p>
    <w:p w:rsidR="00780CCA" w:rsidRDefault="00780CCA" w:rsidP="00AE5A3C">
      <w:pPr>
        <w:jc w:val="both"/>
      </w:pPr>
    </w:p>
    <w:p w:rsidR="00780CCA" w:rsidRPr="00306643" w:rsidRDefault="00780CCA" w:rsidP="00AE5A3C">
      <w:pPr>
        <w:jc w:val="both"/>
      </w:pPr>
    </w:p>
    <w:p w:rsidR="00AE5A3C" w:rsidRPr="00306643" w:rsidRDefault="00AE5A3C" w:rsidP="00AE5A3C">
      <w:pPr>
        <w:jc w:val="both"/>
        <w:rPr>
          <w:b/>
        </w:rPr>
      </w:pPr>
      <w:r w:rsidRPr="00306643">
        <w:rPr>
          <w:b/>
        </w:rPr>
        <w:lastRenderedPageBreak/>
        <w:t>Categoriile de persoane cele mai defavorizate care beneficiază de ajutoare alimentare distribuite în cadrul POAD şi care au calitatea de destinatari finali în conformitate cu prevederile Regulamentului (UE) nr. 223/2014 sunt:</w:t>
      </w:r>
    </w:p>
    <w:p w:rsidR="00AE5A3C" w:rsidRPr="00306643" w:rsidRDefault="00AE5A3C" w:rsidP="00AE5A3C">
      <w:pPr>
        <w:numPr>
          <w:ilvl w:val="0"/>
          <w:numId w:val="2"/>
        </w:numPr>
        <w:spacing w:after="0" w:line="240" w:lineRule="auto"/>
        <w:jc w:val="both"/>
      </w:pPr>
      <w:r w:rsidRPr="00306643">
        <w:t>familiile şi persoanele singure cărora le este stabilit, prin dispoziţie scrisă a primarului, dreptul la un venit minim garantat acordat în baza Legii nr. 416/2001 privind venitul minim garantat, cu modificările şi completările ulterioare;</w:t>
      </w:r>
    </w:p>
    <w:p w:rsidR="00AE5A3C" w:rsidRPr="00306643" w:rsidRDefault="00AE5A3C" w:rsidP="00AE5A3C">
      <w:pPr>
        <w:numPr>
          <w:ilvl w:val="0"/>
          <w:numId w:val="2"/>
        </w:numPr>
        <w:spacing w:after="0" w:line="240" w:lineRule="auto"/>
        <w:jc w:val="both"/>
      </w:pPr>
      <w:r w:rsidRPr="00306643">
        <w:t>familiile beneficiare de alocaţie pentru susţinerea familiei acordată în baza Legii nr. 277/2010 privind alocaţia pentru susţinerea familiei, republicată, cu modificările şi completările ulterioare;</w:t>
      </w:r>
    </w:p>
    <w:p w:rsidR="00AE5A3C" w:rsidRPr="00306643" w:rsidRDefault="00AE5A3C" w:rsidP="00AE5A3C">
      <w:pPr>
        <w:numPr>
          <w:ilvl w:val="0"/>
          <w:numId w:val="2"/>
        </w:numPr>
        <w:spacing w:after="0" w:line="240" w:lineRule="auto"/>
        <w:jc w:val="both"/>
      </w:pPr>
      <w:r w:rsidRPr="00306643">
        <w:t>şomerii care beneficiază în condiţiile Legii nr. 76/2002 privind sistemul asigurărilor pentru şomaj şi stimularea ocupării forţei de muncă, cu modificările şi completările ulterioare, de indemnizaţie de şomaj în cuantum lunar stabilit conform prevederilor legale de până la 450 lei, inclusiv, şi şomerii înregistraţi la agenţiile pentru ocuparea forţei de muncă judeţene sau a municipiului Bucureşti care nu beneficiază de indemnizaţie de şomaj în condiţiile Legii nr. 76/2002, cu modificările şi completările ulterioare;</w:t>
      </w:r>
    </w:p>
    <w:p w:rsidR="00AE5A3C" w:rsidRPr="00306643" w:rsidRDefault="00AE5A3C" w:rsidP="00AE5A3C">
      <w:pPr>
        <w:numPr>
          <w:ilvl w:val="0"/>
          <w:numId w:val="2"/>
        </w:numPr>
        <w:spacing w:after="0" w:line="240" w:lineRule="auto"/>
        <w:jc w:val="both"/>
      </w:pPr>
      <w:r w:rsidRPr="00306643">
        <w:t>pensionarii sistemului public de pensii ale căror drepturi, obţinute din pensie sau, după caz, din pensii cumulate, sunt de până la 450 lei/lună inclusiv;</w:t>
      </w:r>
    </w:p>
    <w:p w:rsidR="00AE5A3C" w:rsidRPr="00306643" w:rsidRDefault="00AE5A3C" w:rsidP="00AE5A3C">
      <w:pPr>
        <w:numPr>
          <w:ilvl w:val="0"/>
          <w:numId w:val="2"/>
        </w:numPr>
        <w:spacing w:after="0" w:line="240" w:lineRule="auto"/>
        <w:jc w:val="both"/>
      </w:pPr>
      <w:r w:rsidRPr="00306643">
        <w:t>pensionarii sistemului public de pensii, beneficiari ai indemnizaţiei sociale pentru pensionari, acordată potrivit Ordonanţei de urgenţă a Guvernului nr. 6/2009 privind instituirea pensiei sociale minime garantate, aprobată prin Legea nr. 196/2009, al căror venit este de până la 450 lei/lună inclusiv;</w:t>
      </w:r>
    </w:p>
    <w:p w:rsidR="00AE5A3C" w:rsidRPr="00306643" w:rsidRDefault="00AE5A3C" w:rsidP="00AE5A3C">
      <w:pPr>
        <w:numPr>
          <w:ilvl w:val="0"/>
          <w:numId w:val="2"/>
        </w:numPr>
        <w:spacing w:after="0" w:line="240" w:lineRule="auto"/>
        <w:jc w:val="both"/>
      </w:pPr>
      <w:r w:rsidRPr="00306643">
        <w:t>persoanele beneficiare ale prevederilor Legii nr. 49/1991 privind acordarea de indemnizaţii şi sporuri invalizilor, veteranilor şi văduvelor de război, cu modificările şi completările ulterioare, Legii nr. 44/1994 privind veteranii de război, precum şi unele drepturi ale invalizilor şi văduvelor de război, republicată, cu modificările şi completările ulterioare, Legii nr. 49/1999 privind pensiile I.O.V.R., cu modificările şi completările ulterioare, Legii nr. 309/2002 privind recunoaşterea şi acordarea unor drepturi persoanelor care au efectuat stagiul militar în cadrul Direcţiei Generale a Serviciului Muncii în perioada 1950 - 1961, cu modificările şi completările ulterioare, Decretului - lege nr. 118/1990 privind acordarea unor drepturi persoanelor persecutate din motive politice de dictatura instaurată cu începere de la 6 martie 1945, precum şi celor deportate în străinătate ori constituite în prizonieri, republicat, cu modificările şi completările ulterioare, Ordonanţei Guvernului nr. 105/1999 privind acordarea unor drepturi persoanelor persecutate de către regimurile instaurate în România cu începere de la 6 septembrie 1940 până la 6 martie 1945 din motive etnice, aprobată cu modificări şi completări prin Legea nr. 189/2000, cu modificările şi completările ulterioare, Legii recunoştinţei pentru victoria Revoluţiei Române din Decembrie 1989 şi pentru revolta muncitorească anticomunistă de la Braşov din noiembrie 1987 nr. 341/2004, cu modificările şi completările ulterioare, Legii nr. 109/2005 privind instituirea indemnizaţiei pentru activitatea de liber - profesionist a artiştilor interpreţi sau executanţi din România, republicată, Legii nr. 8/2006 privind instituirea indemnizaţiei pentru pensionarii sistemului public de pensii, membri ai uniunilor de creatori legal constituite şi recunoscute ca persoane juridice de utilitate publică, cu modificările şi completările ulterioare, Legii nr. 578/2004 privind acordarea unui ajutor lunar pentru soţul supravieţuitor, cu modificările ulterioare, dacă nu realizează alte venituri în afară de cele provenite din drepturile băneşti acordate de aceste legi, ale căror cuantum cumulat este de până la 450 lei/lună inclusiv;</w:t>
      </w:r>
    </w:p>
    <w:p w:rsidR="00AE5A3C" w:rsidRPr="00306643" w:rsidRDefault="00AE5A3C" w:rsidP="00AE5A3C">
      <w:pPr>
        <w:numPr>
          <w:ilvl w:val="0"/>
          <w:numId w:val="2"/>
        </w:numPr>
        <w:spacing w:after="0" w:line="240" w:lineRule="auto"/>
        <w:jc w:val="both"/>
      </w:pPr>
      <w:r w:rsidRPr="00306643">
        <w:t>persoanele cu handicap grav şi accentuat, adulţi şi copii, care nu beneficiază de îngrijire în servicii sociale în regim rezidenţial, publice sau private;</w:t>
      </w:r>
    </w:p>
    <w:p w:rsidR="00AE5A3C" w:rsidRPr="00306643" w:rsidRDefault="00AE5A3C" w:rsidP="00AE5A3C">
      <w:pPr>
        <w:numPr>
          <w:ilvl w:val="0"/>
          <w:numId w:val="2"/>
        </w:numPr>
        <w:spacing w:after="0" w:line="240" w:lineRule="auto"/>
        <w:jc w:val="both"/>
      </w:pPr>
      <w:r w:rsidRPr="00306643">
        <w:t>persoanele fără venituri sau ale căror venituri nete lunare realizate sunt de până la 450 lei/lună/persoană, inclusiv, şi nu se încadrează în niciuna dintre categoriile prevăzute la lit. a) - g), stabilite prin dispoziţie a primarului.</w:t>
      </w:r>
    </w:p>
    <w:p w:rsidR="00AE5A3C" w:rsidRDefault="00AE5A3C" w:rsidP="00AE5A3C">
      <w:pPr>
        <w:ind w:firstLine="720"/>
        <w:jc w:val="both"/>
        <w:rPr>
          <w:b/>
        </w:rPr>
      </w:pPr>
    </w:p>
    <w:p w:rsidR="00AE5A3C" w:rsidRPr="00306643" w:rsidRDefault="00AE5A3C" w:rsidP="00AE5A3C">
      <w:pPr>
        <w:ind w:firstLine="720"/>
        <w:jc w:val="both"/>
        <w:rPr>
          <w:b/>
        </w:rPr>
      </w:pPr>
      <w:r w:rsidRPr="00306643">
        <w:rPr>
          <w:b/>
        </w:rPr>
        <w:t>Persoanele care fac parte din mai multe categorii menţionate mai sus beneficiază de ajutoare alimentare pentru o singură categorie căreia îi aparţin la data distribuţiei ajutoarelor.</w:t>
      </w:r>
    </w:p>
    <w:p w:rsidR="00AE5A3C" w:rsidRPr="00306643" w:rsidRDefault="00AE5A3C" w:rsidP="00AE5A3C">
      <w:pPr>
        <w:ind w:firstLine="720"/>
        <w:jc w:val="both"/>
        <w:rPr>
          <w:b/>
        </w:rPr>
      </w:pPr>
      <w:r w:rsidRPr="00306643">
        <w:rPr>
          <w:b/>
        </w:rPr>
        <w:t>Ajutoarele alimentare se ridică personal de către beneficiari pe baza actului de identitate  de la centrul de distribuţie.</w:t>
      </w:r>
    </w:p>
    <w:p w:rsidR="00AE5A3C" w:rsidRPr="00306643" w:rsidRDefault="00AE5A3C" w:rsidP="00AE5A3C">
      <w:pPr>
        <w:ind w:firstLine="720"/>
        <w:jc w:val="both"/>
      </w:pPr>
      <w:r w:rsidRPr="00306643">
        <w:t>Fiecare ben</w:t>
      </w:r>
      <w:r>
        <w:t>eficiar primeste 2 cutii cu con’inut identic, câ</w:t>
      </w:r>
      <w:r w:rsidRPr="00306643">
        <w:t>te o</w:t>
      </w:r>
      <w:r>
        <w:t xml:space="preserve"> cutie î</w:t>
      </w:r>
      <w:r w:rsidRPr="00306643">
        <w:t>n zile diferite din perio</w:t>
      </w:r>
      <w:r>
        <w:t>ada stabilita prin graficul afiş</w:t>
      </w:r>
      <w:r w:rsidRPr="00306643">
        <w:t>at.</w:t>
      </w:r>
    </w:p>
    <w:p w:rsidR="00AE5A3C" w:rsidRPr="00306643" w:rsidRDefault="00AE5A3C" w:rsidP="00AE5A3C">
      <w:pPr>
        <w:ind w:firstLine="720"/>
        <w:jc w:val="both"/>
      </w:pPr>
      <w:r>
        <w:t>Fiecare cutie conţine urmă</w:t>
      </w:r>
      <w:r w:rsidRPr="00306643">
        <w:t>toarele produse alimentare:</w:t>
      </w:r>
    </w:p>
    <w:tbl>
      <w:tblPr>
        <w:tblW w:w="7587" w:type="dxa"/>
        <w:jc w:val="center"/>
        <w:tblInd w:w="306" w:type="dxa"/>
        <w:tblBorders>
          <w:top w:val="outset" w:sz="6" w:space="0" w:color="auto"/>
          <w:left w:val="outset" w:sz="6" w:space="0" w:color="auto"/>
          <w:bottom w:val="outset" w:sz="6" w:space="0" w:color="auto"/>
          <w:right w:val="outset" w:sz="6" w:space="0" w:color="auto"/>
        </w:tblBorders>
        <w:tblCellMar>
          <w:left w:w="0" w:type="dxa"/>
          <w:right w:w="0" w:type="dxa"/>
        </w:tblCellMar>
        <w:tblLook w:val="0000"/>
      </w:tblPr>
      <w:tblGrid>
        <w:gridCol w:w="2648"/>
        <w:gridCol w:w="2640"/>
        <w:gridCol w:w="1163"/>
        <w:gridCol w:w="1136"/>
      </w:tblGrid>
      <w:tr w:rsidR="00AE5A3C" w:rsidRPr="00306643" w:rsidTr="004B7B90">
        <w:trPr>
          <w:jc w:val="center"/>
        </w:trPr>
        <w:tc>
          <w:tcPr>
            <w:tcW w:w="2714"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tcPr>
          <w:p w:rsidR="00AE5A3C" w:rsidRPr="00306643" w:rsidRDefault="00AE5A3C" w:rsidP="004B7B90">
            <w:pPr>
              <w:pStyle w:val="NormalWeb"/>
              <w:spacing w:before="120" w:beforeAutospacing="0" w:after="120" w:afterAutospacing="0" w:line="270" w:lineRule="atLeast"/>
              <w:jc w:val="both"/>
              <w:rPr>
                <w:lang w:val="ro-RO"/>
              </w:rPr>
            </w:pPr>
            <w:r w:rsidRPr="00306643">
              <w:rPr>
                <w:rStyle w:val="Strong"/>
                <w:lang w:val="ro-RO"/>
              </w:rPr>
              <w:t>Produs</w:t>
            </w:r>
          </w:p>
        </w:tc>
        <w:tc>
          <w:tcPr>
            <w:tcW w:w="2700"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vAlign w:val="center"/>
          </w:tcPr>
          <w:p w:rsidR="00AE5A3C" w:rsidRPr="00306643" w:rsidRDefault="00AE5A3C" w:rsidP="004B7B90">
            <w:pPr>
              <w:pStyle w:val="NormalWeb"/>
              <w:spacing w:before="120" w:beforeAutospacing="0" w:after="120" w:afterAutospacing="0" w:line="270" w:lineRule="atLeast"/>
              <w:jc w:val="both"/>
              <w:rPr>
                <w:lang w:val="ro-RO"/>
              </w:rPr>
            </w:pPr>
            <w:r w:rsidRPr="00306643">
              <w:rPr>
                <w:rStyle w:val="Strong"/>
                <w:lang w:val="ro-RO"/>
              </w:rPr>
              <w:t>Ambalare</w:t>
            </w:r>
          </w:p>
        </w:tc>
        <w:tc>
          <w:tcPr>
            <w:tcW w:w="1052"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vAlign w:val="center"/>
          </w:tcPr>
          <w:p w:rsidR="00AE5A3C" w:rsidRPr="00306643" w:rsidRDefault="00AE5A3C" w:rsidP="004B7B90">
            <w:pPr>
              <w:pStyle w:val="NormalWeb"/>
              <w:spacing w:before="120" w:beforeAutospacing="0" w:after="120" w:afterAutospacing="0" w:line="270" w:lineRule="atLeast"/>
              <w:jc w:val="both"/>
              <w:rPr>
                <w:lang w:val="ro-RO"/>
              </w:rPr>
            </w:pPr>
            <w:r w:rsidRPr="00306643">
              <w:rPr>
                <w:rStyle w:val="Strong"/>
                <w:lang w:val="ro-RO"/>
              </w:rPr>
              <w:t>Număr ambalaje</w:t>
            </w:r>
          </w:p>
        </w:tc>
        <w:tc>
          <w:tcPr>
            <w:tcW w:w="1121"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vAlign w:val="center"/>
          </w:tcPr>
          <w:p w:rsidR="00AE5A3C" w:rsidRPr="00306643" w:rsidRDefault="00AE5A3C" w:rsidP="004B7B90">
            <w:pPr>
              <w:pStyle w:val="NormalWeb"/>
              <w:spacing w:before="120" w:beforeAutospacing="0" w:after="120" w:afterAutospacing="0" w:line="270" w:lineRule="atLeast"/>
              <w:jc w:val="both"/>
              <w:rPr>
                <w:lang w:val="ro-RO"/>
              </w:rPr>
            </w:pPr>
            <w:r w:rsidRPr="00306643">
              <w:rPr>
                <w:rStyle w:val="Strong"/>
                <w:lang w:val="ro-RO"/>
              </w:rPr>
              <w:t>Greutate (kg)</w:t>
            </w:r>
          </w:p>
        </w:tc>
      </w:tr>
      <w:tr w:rsidR="00AE5A3C" w:rsidRPr="00306643" w:rsidTr="004B7B90">
        <w:trPr>
          <w:jc w:val="center"/>
        </w:trPr>
        <w:tc>
          <w:tcPr>
            <w:tcW w:w="2714"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tcPr>
          <w:p w:rsidR="00AE5A3C" w:rsidRPr="00306643" w:rsidRDefault="00AE5A3C" w:rsidP="004B7B90">
            <w:pPr>
              <w:pStyle w:val="NormalWeb"/>
              <w:spacing w:before="120" w:beforeAutospacing="0" w:after="120" w:afterAutospacing="0" w:line="270" w:lineRule="atLeast"/>
              <w:jc w:val="both"/>
              <w:rPr>
                <w:lang w:val="ro-RO"/>
              </w:rPr>
            </w:pPr>
            <w:r w:rsidRPr="00306643">
              <w:rPr>
                <w:lang w:val="ro-RO"/>
              </w:rPr>
              <w:t>Faină albă de grâu</w:t>
            </w:r>
          </w:p>
        </w:tc>
        <w:tc>
          <w:tcPr>
            <w:tcW w:w="2700"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AE5A3C" w:rsidRPr="00306643" w:rsidRDefault="00AE5A3C" w:rsidP="004B7B90">
            <w:pPr>
              <w:pStyle w:val="NormalWeb"/>
              <w:spacing w:before="120" w:beforeAutospacing="0" w:after="120" w:afterAutospacing="0" w:line="270" w:lineRule="atLeast"/>
              <w:jc w:val="both"/>
              <w:rPr>
                <w:lang w:val="ro-RO"/>
              </w:rPr>
            </w:pPr>
            <w:r w:rsidRPr="00306643">
              <w:rPr>
                <w:lang w:val="ro-RO"/>
              </w:rPr>
              <w:t>punga de 1 kg.</w:t>
            </w:r>
          </w:p>
        </w:tc>
        <w:tc>
          <w:tcPr>
            <w:tcW w:w="105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tcPr>
          <w:p w:rsidR="00AE5A3C" w:rsidRPr="00306643" w:rsidRDefault="00AE5A3C" w:rsidP="004B7B90">
            <w:pPr>
              <w:pStyle w:val="NormalWeb"/>
              <w:spacing w:before="120" w:beforeAutospacing="0" w:after="120" w:afterAutospacing="0" w:line="270" w:lineRule="atLeast"/>
              <w:jc w:val="both"/>
              <w:rPr>
                <w:lang w:val="ro-RO"/>
              </w:rPr>
            </w:pPr>
            <w:r w:rsidRPr="00306643">
              <w:rPr>
                <w:lang w:val="ro-RO"/>
              </w:rPr>
              <w:t>1</w:t>
            </w:r>
          </w:p>
        </w:tc>
        <w:tc>
          <w:tcPr>
            <w:tcW w:w="1121"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tcPr>
          <w:p w:rsidR="00AE5A3C" w:rsidRPr="00306643" w:rsidRDefault="00AE5A3C" w:rsidP="004B7B90">
            <w:pPr>
              <w:pStyle w:val="NormalWeb"/>
              <w:spacing w:before="120" w:beforeAutospacing="0" w:after="120" w:afterAutospacing="0" w:line="270" w:lineRule="atLeast"/>
              <w:jc w:val="both"/>
              <w:rPr>
                <w:lang w:val="ro-RO"/>
              </w:rPr>
            </w:pPr>
            <w:r w:rsidRPr="00306643">
              <w:rPr>
                <w:lang w:val="ro-RO"/>
              </w:rPr>
              <w:t>1,000</w:t>
            </w:r>
          </w:p>
        </w:tc>
      </w:tr>
      <w:tr w:rsidR="00AE5A3C" w:rsidRPr="00306643" w:rsidTr="004B7B90">
        <w:trPr>
          <w:jc w:val="center"/>
        </w:trPr>
        <w:tc>
          <w:tcPr>
            <w:tcW w:w="2714" w:type="dxa"/>
            <w:tcBorders>
              <w:top w:val="nil"/>
              <w:left w:val="single" w:sz="8" w:space="0" w:color="auto"/>
              <w:bottom w:val="single" w:sz="4" w:space="0" w:color="auto"/>
              <w:right w:val="single" w:sz="8" w:space="0" w:color="auto"/>
            </w:tcBorders>
            <w:shd w:val="clear" w:color="auto" w:fill="auto"/>
            <w:tcMar>
              <w:top w:w="0" w:type="dxa"/>
              <w:left w:w="108" w:type="dxa"/>
              <w:bottom w:w="0" w:type="dxa"/>
              <w:right w:w="108" w:type="dxa"/>
            </w:tcMar>
            <w:vAlign w:val="center"/>
          </w:tcPr>
          <w:p w:rsidR="00AE5A3C" w:rsidRPr="00306643" w:rsidRDefault="00AE5A3C" w:rsidP="004B7B90">
            <w:pPr>
              <w:pStyle w:val="NormalWeb"/>
              <w:spacing w:before="120" w:beforeAutospacing="0" w:after="120" w:afterAutospacing="0" w:line="270" w:lineRule="atLeast"/>
              <w:jc w:val="both"/>
              <w:rPr>
                <w:lang w:val="ro-RO"/>
              </w:rPr>
            </w:pPr>
            <w:r w:rsidRPr="00306643">
              <w:rPr>
                <w:lang w:val="ro-RO"/>
              </w:rPr>
              <w:t>Mălai</w:t>
            </w:r>
          </w:p>
        </w:tc>
        <w:tc>
          <w:tcPr>
            <w:tcW w:w="2700" w:type="dxa"/>
            <w:tcBorders>
              <w:top w:val="nil"/>
              <w:left w:val="nil"/>
              <w:bottom w:val="single" w:sz="4" w:space="0" w:color="auto"/>
              <w:right w:val="single" w:sz="8" w:space="0" w:color="auto"/>
            </w:tcBorders>
            <w:shd w:val="clear" w:color="auto" w:fill="auto"/>
            <w:tcMar>
              <w:top w:w="0" w:type="dxa"/>
              <w:left w:w="108" w:type="dxa"/>
              <w:bottom w:w="0" w:type="dxa"/>
              <w:right w:w="108" w:type="dxa"/>
            </w:tcMar>
          </w:tcPr>
          <w:p w:rsidR="00AE5A3C" w:rsidRPr="00306643" w:rsidRDefault="00AE5A3C" w:rsidP="004B7B90">
            <w:pPr>
              <w:pStyle w:val="NormalWeb"/>
              <w:spacing w:before="120" w:beforeAutospacing="0" w:after="120" w:afterAutospacing="0" w:line="270" w:lineRule="atLeast"/>
              <w:jc w:val="both"/>
              <w:rPr>
                <w:lang w:val="ro-RO"/>
              </w:rPr>
            </w:pPr>
            <w:r w:rsidRPr="00306643">
              <w:rPr>
                <w:lang w:val="ro-RO"/>
              </w:rPr>
              <w:t>punga de 1 kg.</w:t>
            </w:r>
          </w:p>
        </w:tc>
        <w:tc>
          <w:tcPr>
            <w:tcW w:w="1052" w:type="dxa"/>
            <w:tcBorders>
              <w:top w:val="nil"/>
              <w:left w:val="nil"/>
              <w:bottom w:val="single" w:sz="4" w:space="0" w:color="auto"/>
              <w:right w:val="single" w:sz="8" w:space="0" w:color="auto"/>
            </w:tcBorders>
            <w:shd w:val="clear" w:color="auto" w:fill="auto"/>
            <w:tcMar>
              <w:top w:w="0" w:type="dxa"/>
              <w:left w:w="108" w:type="dxa"/>
              <w:bottom w:w="0" w:type="dxa"/>
              <w:right w:w="108" w:type="dxa"/>
            </w:tcMar>
            <w:vAlign w:val="center"/>
          </w:tcPr>
          <w:p w:rsidR="00AE5A3C" w:rsidRPr="00306643" w:rsidRDefault="00AE5A3C" w:rsidP="004B7B90">
            <w:pPr>
              <w:pStyle w:val="NormalWeb"/>
              <w:spacing w:before="120" w:beforeAutospacing="0" w:after="120" w:afterAutospacing="0" w:line="270" w:lineRule="atLeast"/>
              <w:jc w:val="both"/>
              <w:rPr>
                <w:lang w:val="ro-RO"/>
              </w:rPr>
            </w:pPr>
            <w:r w:rsidRPr="00306643">
              <w:rPr>
                <w:lang w:val="ro-RO"/>
              </w:rPr>
              <w:t>2</w:t>
            </w:r>
          </w:p>
        </w:tc>
        <w:tc>
          <w:tcPr>
            <w:tcW w:w="1121" w:type="dxa"/>
            <w:tcBorders>
              <w:top w:val="nil"/>
              <w:left w:val="nil"/>
              <w:bottom w:val="single" w:sz="4" w:space="0" w:color="auto"/>
              <w:right w:val="single" w:sz="8" w:space="0" w:color="auto"/>
            </w:tcBorders>
            <w:shd w:val="clear" w:color="auto" w:fill="auto"/>
            <w:tcMar>
              <w:top w:w="0" w:type="dxa"/>
              <w:left w:w="108" w:type="dxa"/>
              <w:bottom w:w="0" w:type="dxa"/>
              <w:right w:w="108" w:type="dxa"/>
            </w:tcMar>
            <w:vAlign w:val="center"/>
          </w:tcPr>
          <w:p w:rsidR="00AE5A3C" w:rsidRPr="00306643" w:rsidRDefault="00AE5A3C" w:rsidP="004B7B90">
            <w:pPr>
              <w:pStyle w:val="NormalWeb"/>
              <w:spacing w:before="120" w:beforeAutospacing="0" w:after="120" w:afterAutospacing="0" w:line="270" w:lineRule="atLeast"/>
              <w:jc w:val="both"/>
              <w:rPr>
                <w:lang w:val="ro-RO"/>
              </w:rPr>
            </w:pPr>
            <w:r w:rsidRPr="00306643">
              <w:rPr>
                <w:lang w:val="ro-RO"/>
              </w:rPr>
              <w:t>2,000</w:t>
            </w:r>
          </w:p>
        </w:tc>
      </w:tr>
      <w:tr w:rsidR="00AE5A3C" w:rsidRPr="00306643" w:rsidTr="004B7B90">
        <w:trPr>
          <w:jc w:val="center"/>
        </w:trPr>
        <w:tc>
          <w:tcPr>
            <w:tcW w:w="2714"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rsidR="00AE5A3C" w:rsidRPr="00306643" w:rsidRDefault="00AE5A3C" w:rsidP="004B7B90">
            <w:pPr>
              <w:pStyle w:val="NormalWeb"/>
              <w:spacing w:before="120" w:beforeAutospacing="0" w:after="120" w:afterAutospacing="0" w:line="270" w:lineRule="atLeast"/>
              <w:jc w:val="both"/>
              <w:rPr>
                <w:lang w:val="ro-RO"/>
              </w:rPr>
            </w:pPr>
            <w:r w:rsidRPr="00306643">
              <w:rPr>
                <w:lang w:val="ro-RO"/>
              </w:rPr>
              <w:t>Paste făinoase</w:t>
            </w:r>
          </w:p>
        </w:tc>
        <w:tc>
          <w:tcPr>
            <w:tcW w:w="2700"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AE5A3C" w:rsidRPr="00306643" w:rsidRDefault="00AE5A3C" w:rsidP="004B7B90">
            <w:pPr>
              <w:pStyle w:val="NormalWeb"/>
              <w:spacing w:before="120" w:beforeAutospacing="0" w:after="120" w:afterAutospacing="0" w:line="270" w:lineRule="atLeast"/>
              <w:jc w:val="both"/>
              <w:rPr>
                <w:lang w:val="ro-RO"/>
              </w:rPr>
            </w:pPr>
            <w:r w:rsidRPr="00306643">
              <w:rPr>
                <w:lang w:val="ro-RO"/>
              </w:rPr>
              <w:t>punga de 400 g.</w:t>
            </w:r>
          </w:p>
        </w:tc>
        <w:tc>
          <w:tcPr>
            <w:tcW w:w="1052"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rsidR="00AE5A3C" w:rsidRPr="00306643" w:rsidRDefault="00AE5A3C" w:rsidP="004B7B90">
            <w:pPr>
              <w:pStyle w:val="NormalWeb"/>
              <w:spacing w:before="120" w:beforeAutospacing="0" w:after="120" w:afterAutospacing="0" w:line="270" w:lineRule="atLeast"/>
              <w:jc w:val="both"/>
              <w:rPr>
                <w:lang w:val="ro-RO"/>
              </w:rPr>
            </w:pPr>
            <w:r w:rsidRPr="00306643">
              <w:rPr>
                <w:lang w:val="ro-RO"/>
              </w:rPr>
              <w:t>1</w:t>
            </w:r>
          </w:p>
        </w:tc>
        <w:tc>
          <w:tcPr>
            <w:tcW w:w="1121"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rsidR="00AE5A3C" w:rsidRPr="00306643" w:rsidRDefault="00AE5A3C" w:rsidP="004B7B90">
            <w:pPr>
              <w:pStyle w:val="NormalWeb"/>
              <w:spacing w:before="120" w:beforeAutospacing="0" w:after="120" w:afterAutospacing="0" w:line="270" w:lineRule="atLeast"/>
              <w:jc w:val="both"/>
              <w:rPr>
                <w:lang w:val="ro-RO"/>
              </w:rPr>
            </w:pPr>
            <w:r w:rsidRPr="00306643">
              <w:rPr>
                <w:lang w:val="ro-RO"/>
              </w:rPr>
              <w:t>0,400</w:t>
            </w:r>
          </w:p>
        </w:tc>
      </w:tr>
      <w:tr w:rsidR="00AE5A3C" w:rsidRPr="00306643" w:rsidTr="004B7B90">
        <w:trPr>
          <w:jc w:val="center"/>
        </w:trPr>
        <w:tc>
          <w:tcPr>
            <w:tcW w:w="2714" w:type="dxa"/>
            <w:tcBorders>
              <w:top w:val="single" w:sz="4"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tcPr>
          <w:p w:rsidR="00AE5A3C" w:rsidRPr="00306643" w:rsidRDefault="00AE5A3C" w:rsidP="004B7B90">
            <w:pPr>
              <w:pStyle w:val="NormalWeb"/>
              <w:spacing w:before="120" w:beforeAutospacing="0" w:after="120" w:afterAutospacing="0" w:line="270" w:lineRule="atLeast"/>
              <w:jc w:val="both"/>
              <w:rPr>
                <w:lang w:val="ro-RO"/>
              </w:rPr>
            </w:pPr>
            <w:r w:rsidRPr="00306643">
              <w:rPr>
                <w:lang w:val="ro-RO"/>
              </w:rPr>
              <w:t>Ulei</w:t>
            </w:r>
          </w:p>
        </w:tc>
        <w:tc>
          <w:tcPr>
            <w:tcW w:w="2700" w:type="dxa"/>
            <w:tcBorders>
              <w:top w:val="single" w:sz="4" w:space="0" w:color="auto"/>
              <w:left w:val="nil"/>
              <w:bottom w:val="single" w:sz="8" w:space="0" w:color="auto"/>
              <w:right w:val="single" w:sz="8" w:space="0" w:color="auto"/>
            </w:tcBorders>
            <w:shd w:val="clear" w:color="auto" w:fill="auto"/>
            <w:tcMar>
              <w:top w:w="0" w:type="dxa"/>
              <w:left w:w="108" w:type="dxa"/>
              <w:bottom w:w="0" w:type="dxa"/>
              <w:right w:w="108" w:type="dxa"/>
            </w:tcMar>
          </w:tcPr>
          <w:p w:rsidR="00AE5A3C" w:rsidRPr="00306643" w:rsidRDefault="00AE5A3C" w:rsidP="004B7B90">
            <w:pPr>
              <w:pStyle w:val="NormalWeb"/>
              <w:spacing w:before="120" w:beforeAutospacing="0" w:after="120" w:afterAutospacing="0" w:line="270" w:lineRule="atLeast"/>
              <w:jc w:val="both"/>
              <w:rPr>
                <w:lang w:val="ro-RO"/>
              </w:rPr>
            </w:pPr>
            <w:r w:rsidRPr="00306643">
              <w:rPr>
                <w:lang w:val="ro-RO"/>
              </w:rPr>
              <w:t>sticla din plastic de 1 l.</w:t>
            </w:r>
          </w:p>
        </w:tc>
        <w:tc>
          <w:tcPr>
            <w:tcW w:w="1052" w:type="dxa"/>
            <w:tcBorders>
              <w:top w:val="single" w:sz="4" w:space="0" w:color="auto"/>
              <w:left w:val="nil"/>
              <w:bottom w:val="single" w:sz="8" w:space="0" w:color="auto"/>
              <w:right w:val="single" w:sz="8" w:space="0" w:color="auto"/>
            </w:tcBorders>
            <w:shd w:val="clear" w:color="auto" w:fill="auto"/>
            <w:tcMar>
              <w:top w:w="0" w:type="dxa"/>
              <w:left w:w="108" w:type="dxa"/>
              <w:bottom w:w="0" w:type="dxa"/>
              <w:right w:w="108" w:type="dxa"/>
            </w:tcMar>
            <w:vAlign w:val="center"/>
          </w:tcPr>
          <w:p w:rsidR="00AE5A3C" w:rsidRPr="00306643" w:rsidRDefault="00AE5A3C" w:rsidP="004B7B90">
            <w:pPr>
              <w:pStyle w:val="NormalWeb"/>
              <w:spacing w:before="120" w:beforeAutospacing="0" w:after="120" w:afterAutospacing="0" w:line="270" w:lineRule="atLeast"/>
              <w:jc w:val="both"/>
              <w:rPr>
                <w:lang w:val="ro-RO"/>
              </w:rPr>
            </w:pPr>
            <w:r w:rsidRPr="00306643">
              <w:rPr>
                <w:lang w:val="ro-RO"/>
              </w:rPr>
              <w:t>2</w:t>
            </w:r>
          </w:p>
        </w:tc>
        <w:tc>
          <w:tcPr>
            <w:tcW w:w="1121" w:type="dxa"/>
            <w:tcBorders>
              <w:top w:val="single" w:sz="4" w:space="0" w:color="auto"/>
              <w:left w:val="nil"/>
              <w:bottom w:val="single" w:sz="8" w:space="0" w:color="auto"/>
              <w:right w:val="single" w:sz="8" w:space="0" w:color="auto"/>
            </w:tcBorders>
            <w:shd w:val="clear" w:color="auto" w:fill="auto"/>
            <w:tcMar>
              <w:top w:w="0" w:type="dxa"/>
              <w:left w:w="108" w:type="dxa"/>
              <w:bottom w:w="0" w:type="dxa"/>
              <w:right w:w="108" w:type="dxa"/>
            </w:tcMar>
            <w:vAlign w:val="center"/>
          </w:tcPr>
          <w:p w:rsidR="00AE5A3C" w:rsidRPr="00306643" w:rsidRDefault="00AE5A3C" w:rsidP="004B7B90">
            <w:pPr>
              <w:pStyle w:val="NormalWeb"/>
              <w:spacing w:before="120" w:beforeAutospacing="0" w:after="120" w:afterAutospacing="0" w:line="270" w:lineRule="atLeast"/>
              <w:jc w:val="both"/>
              <w:rPr>
                <w:lang w:val="ro-RO"/>
              </w:rPr>
            </w:pPr>
            <w:r w:rsidRPr="00306643">
              <w:rPr>
                <w:lang w:val="ro-RO"/>
              </w:rPr>
              <w:t>2,000</w:t>
            </w:r>
          </w:p>
        </w:tc>
      </w:tr>
      <w:tr w:rsidR="00AE5A3C" w:rsidRPr="00306643" w:rsidTr="004B7B90">
        <w:trPr>
          <w:jc w:val="center"/>
        </w:trPr>
        <w:tc>
          <w:tcPr>
            <w:tcW w:w="2714"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tcPr>
          <w:p w:rsidR="00AE5A3C" w:rsidRPr="00306643" w:rsidRDefault="00AE5A3C" w:rsidP="004B7B90">
            <w:pPr>
              <w:pStyle w:val="NormalWeb"/>
              <w:spacing w:before="120" w:beforeAutospacing="0" w:after="120" w:afterAutospacing="0" w:line="270" w:lineRule="atLeast"/>
              <w:jc w:val="both"/>
              <w:rPr>
                <w:lang w:val="ro-RO"/>
              </w:rPr>
            </w:pPr>
            <w:r w:rsidRPr="00306643">
              <w:rPr>
                <w:lang w:val="ro-RO"/>
              </w:rPr>
              <w:t>Zahăr</w:t>
            </w:r>
          </w:p>
        </w:tc>
        <w:tc>
          <w:tcPr>
            <w:tcW w:w="2700"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AE5A3C" w:rsidRPr="00306643" w:rsidRDefault="00AE5A3C" w:rsidP="004B7B90">
            <w:pPr>
              <w:pStyle w:val="NormalWeb"/>
              <w:spacing w:before="120" w:beforeAutospacing="0" w:after="120" w:afterAutospacing="0" w:line="270" w:lineRule="atLeast"/>
              <w:jc w:val="both"/>
              <w:rPr>
                <w:lang w:val="ro-RO"/>
              </w:rPr>
            </w:pPr>
            <w:r w:rsidRPr="00306643">
              <w:rPr>
                <w:lang w:val="ro-RO"/>
              </w:rPr>
              <w:t>punga de 1 kg.</w:t>
            </w:r>
          </w:p>
        </w:tc>
        <w:tc>
          <w:tcPr>
            <w:tcW w:w="105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tcPr>
          <w:p w:rsidR="00AE5A3C" w:rsidRPr="00306643" w:rsidRDefault="00AE5A3C" w:rsidP="004B7B90">
            <w:pPr>
              <w:pStyle w:val="NormalWeb"/>
              <w:spacing w:before="120" w:beforeAutospacing="0" w:after="120" w:afterAutospacing="0" w:line="270" w:lineRule="atLeast"/>
              <w:jc w:val="both"/>
              <w:rPr>
                <w:lang w:val="ro-RO"/>
              </w:rPr>
            </w:pPr>
            <w:r w:rsidRPr="00306643">
              <w:rPr>
                <w:lang w:val="ro-RO"/>
              </w:rPr>
              <w:t>1</w:t>
            </w:r>
          </w:p>
        </w:tc>
        <w:tc>
          <w:tcPr>
            <w:tcW w:w="1121"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tcPr>
          <w:p w:rsidR="00AE5A3C" w:rsidRPr="00306643" w:rsidRDefault="00AE5A3C" w:rsidP="004B7B90">
            <w:pPr>
              <w:pStyle w:val="NormalWeb"/>
              <w:spacing w:before="120" w:beforeAutospacing="0" w:after="120" w:afterAutospacing="0" w:line="270" w:lineRule="atLeast"/>
              <w:jc w:val="both"/>
              <w:rPr>
                <w:lang w:val="ro-RO"/>
              </w:rPr>
            </w:pPr>
            <w:r w:rsidRPr="00306643">
              <w:rPr>
                <w:lang w:val="ro-RO"/>
              </w:rPr>
              <w:t>1,000</w:t>
            </w:r>
          </w:p>
        </w:tc>
      </w:tr>
      <w:tr w:rsidR="00AE5A3C" w:rsidRPr="00306643" w:rsidTr="004B7B90">
        <w:trPr>
          <w:jc w:val="center"/>
        </w:trPr>
        <w:tc>
          <w:tcPr>
            <w:tcW w:w="2714" w:type="dxa"/>
            <w:tcBorders>
              <w:top w:val="nil"/>
              <w:left w:val="single" w:sz="8" w:space="0" w:color="auto"/>
              <w:bottom w:val="single" w:sz="4" w:space="0" w:color="auto"/>
              <w:right w:val="single" w:sz="8" w:space="0" w:color="auto"/>
            </w:tcBorders>
            <w:shd w:val="clear" w:color="auto" w:fill="auto"/>
            <w:tcMar>
              <w:top w:w="0" w:type="dxa"/>
              <w:left w:w="108" w:type="dxa"/>
              <w:bottom w:w="0" w:type="dxa"/>
              <w:right w:w="108" w:type="dxa"/>
            </w:tcMar>
            <w:vAlign w:val="center"/>
          </w:tcPr>
          <w:p w:rsidR="00AE5A3C" w:rsidRPr="00306643" w:rsidRDefault="00AE5A3C" w:rsidP="004B7B90">
            <w:pPr>
              <w:pStyle w:val="NormalWeb"/>
              <w:spacing w:before="120" w:beforeAutospacing="0" w:after="120" w:afterAutospacing="0" w:line="270" w:lineRule="atLeast"/>
              <w:jc w:val="both"/>
              <w:rPr>
                <w:lang w:val="ro-RO"/>
              </w:rPr>
            </w:pPr>
            <w:r w:rsidRPr="00306643">
              <w:rPr>
                <w:lang w:val="ro-RO"/>
              </w:rPr>
              <w:t xml:space="preserve">Conserva carne de vită </w:t>
            </w:r>
          </w:p>
        </w:tc>
        <w:tc>
          <w:tcPr>
            <w:tcW w:w="2700" w:type="dxa"/>
            <w:tcBorders>
              <w:top w:val="nil"/>
              <w:left w:val="nil"/>
              <w:bottom w:val="single" w:sz="4" w:space="0" w:color="auto"/>
              <w:right w:val="single" w:sz="8" w:space="0" w:color="auto"/>
            </w:tcBorders>
            <w:shd w:val="clear" w:color="auto" w:fill="auto"/>
            <w:tcMar>
              <w:top w:w="0" w:type="dxa"/>
              <w:left w:w="108" w:type="dxa"/>
              <w:bottom w:w="0" w:type="dxa"/>
              <w:right w:w="108" w:type="dxa"/>
            </w:tcMar>
          </w:tcPr>
          <w:p w:rsidR="00AE5A3C" w:rsidRPr="00306643" w:rsidRDefault="00AE5A3C" w:rsidP="004B7B90">
            <w:pPr>
              <w:pStyle w:val="NormalWeb"/>
              <w:spacing w:before="120" w:beforeAutospacing="0" w:after="120" w:afterAutospacing="0" w:line="270" w:lineRule="atLeast"/>
              <w:jc w:val="both"/>
              <w:rPr>
                <w:lang w:val="ro-RO"/>
              </w:rPr>
            </w:pPr>
            <w:r w:rsidRPr="00306643">
              <w:rPr>
                <w:lang w:val="ro-RO"/>
              </w:rPr>
              <w:t>cutie metalica de 300 g.</w:t>
            </w:r>
          </w:p>
        </w:tc>
        <w:tc>
          <w:tcPr>
            <w:tcW w:w="1052" w:type="dxa"/>
            <w:tcBorders>
              <w:top w:val="nil"/>
              <w:left w:val="nil"/>
              <w:bottom w:val="single" w:sz="4" w:space="0" w:color="auto"/>
              <w:right w:val="single" w:sz="8" w:space="0" w:color="auto"/>
            </w:tcBorders>
            <w:shd w:val="clear" w:color="auto" w:fill="auto"/>
            <w:tcMar>
              <w:top w:w="0" w:type="dxa"/>
              <w:left w:w="108" w:type="dxa"/>
              <w:bottom w:w="0" w:type="dxa"/>
              <w:right w:w="108" w:type="dxa"/>
            </w:tcMar>
            <w:vAlign w:val="center"/>
          </w:tcPr>
          <w:p w:rsidR="00AE5A3C" w:rsidRPr="00306643" w:rsidRDefault="00AE5A3C" w:rsidP="004B7B90">
            <w:pPr>
              <w:pStyle w:val="NormalWeb"/>
              <w:spacing w:before="120" w:beforeAutospacing="0" w:after="120" w:afterAutospacing="0" w:line="270" w:lineRule="atLeast"/>
              <w:jc w:val="both"/>
              <w:rPr>
                <w:lang w:val="ro-RO"/>
              </w:rPr>
            </w:pPr>
            <w:r w:rsidRPr="00306643">
              <w:rPr>
                <w:lang w:val="ro-RO"/>
              </w:rPr>
              <w:t>1</w:t>
            </w:r>
          </w:p>
        </w:tc>
        <w:tc>
          <w:tcPr>
            <w:tcW w:w="1121" w:type="dxa"/>
            <w:tcBorders>
              <w:top w:val="nil"/>
              <w:left w:val="nil"/>
              <w:bottom w:val="single" w:sz="4" w:space="0" w:color="auto"/>
              <w:right w:val="single" w:sz="8" w:space="0" w:color="auto"/>
            </w:tcBorders>
            <w:shd w:val="clear" w:color="auto" w:fill="auto"/>
            <w:tcMar>
              <w:top w:w="0" w:type="dxa"/>
              <w:left w:w="108" w:type="dxa"/>
              <w:bottom w:w="0" w:type="dxa"/>
              <w:right w:w="108" w:type="dxa"/>
            </w:tcMar>
            <w:vAlign w:val="center"/>
          </w:tcPr>
          <w:p w:rsidR="00AE5A3C" w:rsidRPr="00306643" w:rsidRDefault="00AE5A3C" w:rsidP="004B7B90">
            <w:pPr>
              <w:pStyle w:val="NormalWeb"/>
              <w:spacing w:before="120" w:beforeAutospacing="0" w:after="120" w:afterAutospacing="0" w:line="270" w:lineRule="atLeast"/>
              <w:jc w:val="both"/>
              <w:rPr>
                <w:lang w:val="ro-RO"/>
              </w:rPr>
            </w:pPr>
            <w:r w:rsidRPr="00306643">
              <w:rPr>
                <w:lang w:val="ro-RO"/>
              </w:rPr>
              <w:t>0,300</w:t>
            </w:r>
          </w:p>
        </w:tc>
      </w:tr>
      <w:tr w:rsidR="00AE5A3C" w:rsidRPr="00306643" w:rsidTr="004B7B90">
        <w:trPr>
          <w:jc w:val="center"/>
        </w:trPr>
        <w:tc>
          <w:tcPr>
            <w:tcW w:w="2714"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rsidR="00AE5A3C" w:rsidRPr="00306643" w:rsidRDefault="00AE5A3C" w:rsidP="004B7B90">
            <w:pPr>
              <w:pStyle w:val="NormalWeb"/>
              <w:spacing w:before="120" w:beforeAutospacing="0" w:after="120" w:afterAutospacing="0" w:line="270" w:lineRule="atLeast"/>
              <w:jc w:val="both"/>
              <w:rPr>
                <w:lang w:val="ro-RO"/>
              </w:rPr>
            </w:pPr>
            <w:r w:rsidRPr="00306643">
              <w:rPr>
                <w:lang w:val="ro-RO"/>
              </w:rPr>
              <w:t>Conserva pateu de ficat de porc</w:t>
            </w:r>
          </w:p>
        </w:tc>
        <w:tc>
          <w:tcPr>
            <w:tcW w:w="2700"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AE5A3C" w:rsidRPr="00306643" w:rsidRDefault="00AE5A3C" w:rsidP="004B7B90">
            <w:pPr>
              <w:pStyle w:val="NormalWeb"/>
              <w:spacing w:before="120" w:beforeAutospacing="0" w:after="120" w:afterAutospacing="0" w:line="270" w:lineRule="atLeast"/>
              <w:jc w:val="both"/>
              <w:rPr>
                <w:lang w:val="ro-RO"/>
              </w:rPr>
            </w:pPr>
            <w:r w:rsidRPr="00306643">
              <w:rPr>
                <w:lang w:val="ro-RO"/>
              </w:rPr>
              <w:t>cutie metalica de 200 g.</w:t>
            </w:r>
          </w:p>
        </w:tc>
        <w:tc>
          <w:tcPr>
            <w:tcW w:w="1052"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rsidR="00AE5A3C" w:rsidRPr="00306643" w:rsidRDefault="00AE5A3C" w:rsidP="004B7B90">
            <w:pPr>
              <w:pStyle w:val="NormalWeb"/>
              <w:spacing w:before="120" w:beforeAutospacing="0" w:after="120" w:afterAutospacing="0" w:line="270" w:lineRule="atLeast"/>
              <w:jc w:val="both"/>
              <w:rPr>
                <w:lang w:val="ro-RO"/>
              </w:rPr>
            </w:pPr>
            <w:r w:rsidRPr="00306643">
              <w:rPr>
                <w:lang w:val="ro-RO"/>
              </w:rPr>
              <w:t>1</w:t>
            </w:r>
          </w:p>
        </w:tc>
        <w:tc>
          <w:tcPr>
            <w:tcW w:w="1121"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rsidR="00AE5A3C" w:rsidRPr="00306643" w:rsidRDefault="00AE5A3C" w:rsidP="004B7B90">
            <w:pPr>
              <w:pStyle w:val="NormalWeb"/>
              <w:spacing w:before="120" w:beforeAutospacing="0" w:after="120" w:afterAutospacing="0" w:line="270" w:lineRule="atLeast"/>
              <w:jc w:val="both"/>
              <w:rPr>
                <w:lang w:val="ro-RO"/>
              </w:rPr>
            </w:pPr>
            <w:r w:rsidRPr="00306643">
              <w:rPr>
                <w:lang w:val="ro-RO"/>
              </w:rPr>
              <w:t>0,200</w:t>
            </w:r>
          </w:p>
        </w:tc>
      </w:tr>
      <w:tr w:rsidR="00AE5A3C" w:rsidRPr="00306643" w:rsidTr="004B7B90">
        <w:trPr>
          <w:jc w:val="center"/>
        </w:trPr>
        <w:tc>
          <w:tcPr>
            <w:tcW w:w="2714"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rsidR="00AE5A3C" w:rsidRPr="00306643" w:rsidRDefault="00AE5A3C" w:rsidP="004B7B90">
            <w:pPr>
              <w:pStyle w:val="NormalWeb"/>
              <w:spacing w:before="120" w:beforeAutospacing="0" w:after="120" w:afterAutospacing="0" w:line="270" w:lineRule="atLeast"/>
              <w:jc w:val="both"/>
              <w:rPr>
                <w:lang w:val="ro-RO"/>
              </w:rPr>
            </w:pPr>
            <w:r w:rsidRPr="00306643">
              <w:rPr>
                <w:lang w:val="ro-RO"/>
              </w:rPr>
              <w:t>Orez</w:t>
            </w:r>
          </w:p>
        </w:tc>
        <w:tc>
          <w:tcPr>
            <w:tcW w:w="2700"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AE5A3C" w:rsidRPr="00306643" w:rsidRDefault="00AE5A3C" w:rsidP="004B7B90">
            <w:pPr>
              <w:pStyle w:val="NormalWeb"/>
              <w:spacing w:before="120" w:beforeAutospacing="0" w:after="120" w:afterAutospacing="0" w:line="270" w:lineRule="atLeast"/>
              <w:jc w:val="both"/>
              <w:rPr>
                <w:lang w:val="ro-RO"/>
              </w:rPr>
            </w:pPr>
            <w:r w:rsidRPr="00306643">
              <w:rPr>
                <w:lang w:val="ro-RO"/>
              </w:rPr>
              <w:t>punga de 1 kg.</w:t>
            </w:r>
          </w:p>
        </w:tc>
        <w:tc>
          <w:tcPr>
            <w:tcW w:w="1052"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rsidR="00AE5A3C" w:rsidRPr="00306643" w:rsidRDefault="00AE5A3C" w:rsidP="004B7B90">
            <w:pPr>
              <w:pStyle w:val="NormalWeb"/>
              <w:spacing w:before="120" w:beforeAutospacing="0" w:after="120" w:afterAutospacing="0" w:line="270" w:lineRule="atLeast"/>
              <w:jc w:val="both"/>
              <w:rPr>
                <w:lang w:val="ro-RO"/>
              </w:rPr>
            </w:pPr>
            <w:r w:rsidRPr="00306643">
              <w:rPr>
                <w:lang w:val="ro-RO"/>
              </w:rPr>
              <w:t>1</w:t>
            </w:r>
          </w:p>
        </w:tc>
        <w:tc>
          <w:tcPr>
            <w:tcW w:w="1121"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rsidR="00AE5A3C" w:rsidRPr="00306643" w:rsidRDefault="00AE5A3C" w:rsidP="004B7B90">
            <w:pPr>
              <w:pStyle w:val="NormalWeb"/>
              <w:spacing w:before="120" w:beforeAutospacing="0" w:after="120" w:afterAutospacing="0" w:line="270" w:lineRule="atLeast"/>
              <w:jc w:val="both"/>
              <w:rPr>
                <w:lang w:val="ro-RO"/>
              </w:rPr>
            </w:pPr>
            <w:r w:rsidRPr="00306643">
              <w:rPr>
                <w:lang w:val="ro-RO"/>
              </w:rPr>
              <w:t>1.000</w:t>
            </w:r>
          </w:p>
        </w:tc>
      </w:tr>
      <w:tr w:rsidR="00AE5A3C" w:rsidRPr="00306643" w:rsidTr="004B7B90">
        <w:trPr>
          <w:jc w:val="center"/>
        </w:trPr>
        <w:tc>
          <w:tcPr>
            <w:tcW w:w="2714"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rsidR="00AE5A3C" w:rsidRPr="00306643" w:rsidRDefault="00AE5A3C" w:rsidP="004B7B90">
            <w:pPr>
              <w:pStyle w:val="NormalWeb"/>
              <w:spacing w:before="120" w:beforeAutospacing="0" w:after="120" w:afterAutospacing="0" w:line="270" w:lineRule="atLeast"/>
              <w:jc w:val="both"/>
              <w:rPr>
                <w:lang w:val="ro-RO"/>
              </w:rPr>
            </w:pPr>
            <w:r w:rsidRPr="00306643">
              <w:rPr>
                <w:lang w:val="ro-RO"/>
              </w:rPr>
              <w:t>Conserva de pasta de tomate</w:t>
            </w:r>
          </w:p>
        </w:tc>
        <w:tc>
          <w:tcPr>
            <w:tcW w:w="2700"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AE5A3C" w:rsidRPr="00306643" w:rsidRDefault="00AE5A3C" w:rsidP="004B7B90">
            <w:pPr>
              <w:pStyle w:val="NormalWeb"/>
              <w:spacing w:before="120" w:beforeAutospacing="0" w:after="120" w:afterAutospacing="0" w:line="270" w:lineRule="atLeast"/>
              <w:jc w:val="both"/>
              <w:rPr>
                <w:lang w:val="ro-RO"/>
              </w:rPr>
            </w:pPr>
            <w:r w:rsidRPr="00306643">
              <w:rPr>
                <w:lang w:val="ro-RO"/>
              </w:rPr>
              <w:t>cutie metalica de 400 g.</w:t>
            </w:r>
          </w:p>
        </w:tc>
        <w:tc>
          <w:tcPr>
            <w:tcW w:w="1052"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rsidR="00AE5A3C" w:rsidRPr="00306643" w:rsidRDefault="00AE5A3C" w:rsidP="004B7B90">
            <w:pPr>
              <w:pStyle w:val="NormalWeb"/>
              <w:spacing w:before="120" w:beforeAutospacing="0" w:after="120" w:afterAutospacing="0" w:line="270" w:lineRule="atLeast"/>
              <w:jc w:val="both"/>
              <w:rPr>
                <w:lang w:val="ro-RO"/>
              </w:rPr>
            </w:pPr>
            <w:r w:rsidRPr="00306643">
              <w:rPr>
                <w:lang w:val="ro-RO"/>
              </w:rPr>
              <w:t>1</w:t>
            </w:r>
          </w:p>
        </w:tc>
        <w:tc>
          <w:tcPr>
            <w:tcW w:w="1121"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rsidR="00AE5A3C" w:rsidRPr="00306643" w:rsidRDefault="00AE5A3C" w:rsidP="004B7B90">
            <w:pPr>
              <w:pStyle w:val="NormalWeb"/>
              <w:spacing w:before="120" w:beforeAutospacing="0" w:after="120" w:afterAutospacing="0" w:line="270" w:lineRule="atLeast"/>
              <w:jc w:val="both"/>
              <w:rPr>
                <w:lang w:val="ro-RO"/>
              </w:rPr>
            </w:pPr>
            <w:r w:rsidRPr="00306643">
              <w:rPr>
                <w:lang w:val="ro-RO"/>
              </w:rPr>
              <w:t>0.400</w:t>
            </w:r>
          </w:p>
        </w:tc>
      </w:tr>
      <w:tr w:rsidR="00AE5A3C" w:rsidRPr="00306643" w:rsidTr="004B7B90">
        <w:trPr>
          <w:jc w:val="center"/>
        </w:trPr>
        <w:tc>
          <w:tcPr>
            <w:tcW w:w="2714"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rsidR="00AE5A3C" w:rsidRPr="00306643" w:rsidRDefault="00AE5A3C" w:rsidP="004B7B90">
            <w:pPr>
              <w:pStyle w:val="NormalWeb"/>
              <w:spacing w:before="120" w:beforeAutospacing="0" w:after="120" w:afterAutospacing="0" w:line="270" w:lineRule="atLeast"/>
              <w:jc w:val="both"/>
              <w:rPr>
                <w:lang w:val="ro-RO"/>
              </w:rPr>
            </w:pPr>
            <w:r w:rsidRPr="00306643">
              <w:rPr>
                <w:lang w:val="ro-RO"/>
              </w:rPr>
              <w:t>Fasole boabe</w:t>
            </w:r>
          </w:p>
        </w:tc>
        <w:tc>
          <w:tcPr>
            <w:tcW w:w="2700"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AE5A3C" w:rsidRPr="00306643" w:rsidRDefault="00AE5A3C" w:rsidP="004B7B90">
            <w:pPr>
              <w:pStyle w:val="NormalWeb"/>
              <w:spacing w:before="120" w:beforeAutospacing="0" w:after="120" w:afterAutospacing="0" w:line="270" w:lineRule="atLeast"/>
              <w:jc w:val="both"/>
              <w:rPr>
                <w:lang w:val="ro-RO"/>
              </w:rPr>
            </w:pPr>
            <w:r w:rsidRPr="00306643">
              <w:rPr>
                <w:lang w:val="ro-RO"/>
              </w:rPr>
              <w:t>punga de 500 g</w:t>
            </w:r>
          </w:p>
        </w:tc>
        <w:tc>
          <w:tcPr>
            <w:tcW w:w="1052"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rsidR="00AE5A3C" w:rsidRPr="00306643" w:rsidRDefault="00AE5A3C" w:rsidP="004B7B90">
            <w:pPr>
              <w:pStyle w:val="NormalWeb"/>
              <w:spacing w:before="120" w:beforeAutospacing="0" w:after="120" w:afterAutospacing="0" w:line="270" w:lineRule="atLeast"/>
              <w:jc w:val="both"/>
              <w:rPr>
                <w:lang w:val="ro-RO"/>
              </w:rPr>
            </w:pPr>
            <w:r w:rsidRPr="00306643">
              <w:rPr>
                <w:lang w:val="ro-RO"/>
              </w:rPr>
              <w:t>1</w:t>
            </w:r>
          </w:p>
        </w:tc>
        <w:tc>
          <w:tcPr>
            <w:tcW w:w="1121"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rsidR="00AE5A3C" w:rsidRPr="00306643" w:rsidRDefault="00AE5A3C" w:rsidP="004B7B90">
            <w:pPr>
              <w:pStyle w:val="NormalWeb"/>
              <w:spacing w:before="120" w:beforeAutospacing="0" w:after="120" w:afterAutospacing="0" w:line="270" w:lineRule="atLeast"/>
              <w:jc w:val="both"/>
              <w:rPr>
                <w:lang w:val="ro-RO"/>
              </w:rPr>
            </w:pPr>
            <w:r w:rsidRPr="00306643">
              <w:rPr>
                <w:lang w:val="ro-RO"/>
              </w:rPr>
              <w:t>0.500</w:t>
            </w:r>
          </w:p>
        </w:tc>
      </w:tr>
    </w:tbl>
    <w:p w:rsidR="00AE5A3C" w:rsidRPr="00306643" w:rsidRDefault="00AE5A3C" w:rsidP="00AE5A3C">
      <w:pPr>
        <w:jc w:val="both"/>
      </w:pPr>
    </w:p>
    <w:p w:rsidR="00AE4415" w:rsidRDefault="00AE4415"/>
    <w:sectPr w:rsidR="00AE4415" w:rsidSect="00AE5A3C">
      <w:pgSz w:w="11906" w:h="16838"/>
      <w:pgMar w:top="709"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7A249CD"/>
    <w:multiLevelType w:val="hybridMultilevel"/>
    <w:tmpl w:val="1008853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646C59E4"/>
    <w:multiLevelType w:val="hybridMultilevel"/>
    <w:tmpl w:val="C8EECB5A"/>
    <w:lvl w:ilvl="0" w:tplc="9FB8C93E">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savePreviewPicture/>
  <w:compat>
    <w:useFELayout/>
  </w:compat>
  <w:rsids>
    <w:rsidRoot w:val="00AE5A3C"/>
    <w:rsid w:val="00780CCA"/>
    <w:rsid w:val="00AE4415"/>
    <w:rsid w:val="00AE5A3C"/>
  </w:rsids>
  <m:mathPr>
    <m:mathFont m:val="Cambria Math"/>
    <m:brkBin m:val="before"/>
    <m:brkBinSub m:val="--"/>
    <m:smallFrac m:val="off"/>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o-RO" w:eastAsia="ro-R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rsid w:val="00AE5A3C"/>
    <w:pPr>
      <w:spacing w:before="100" w:beforeAutospacing="1" w:after="100" w:afterAutospacing="1" w:line="240" w:lineRule="auto"/>
    </w:pPr>
    <w:rPr>
      <w:rFonts w:ascii="Times New Roman" w:eastAsia="Times New Roman" w:hAnsi="Times New Roman" w:cs="Times New Roman"/>
      <w:sz w:val="24"/>
      <w:szCs w:val="24"/>
      <w:lang w:val="en-US" w:eastAsia="en-US"/>
    </w:rPr>
  </w:style>
  <w:style w:type="character" w:styleId="Strong">
    <w:name w:val="Strong"/>
    <w:qFormat/>
    <w:rsid w:val="00AE5A3C"/>
    <w:rPr>
      <w:b/>
      <w:b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15</TotalTime>
  <Pages>3</Pages>
  <Words>902</Words>
  <Characters>5233</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secretar</dc:creator>
  <cp:keywords/>
  <dc:description/>
  <cp:lastModifiedBy>secretar</cp:lastModifiedBy>
  <cp:revision>2</cp:revision>
  <dcterms:created xsi:type="dcterms:W3CDTF">2016-07-06T09:28:00Z</dcterms:created>
  <dcterms:modified xsi:type="dcterms:W3CDTF">2016-07-06T09:43:00Z</dcterms:modified>
</cp:coreProperties>
</file>